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10 347 vom 1. Februar 2012</w:t>
      </w:r>
    </w:p>
    <w:p>
      <w:r>
        <w:t>BL Gerichte, 2012-02-01, DE</w:t>
      </w:r>
    </w:p>
    <w:p>
      <w:r>
        <w:rPr>
          <w:b/>
        </w:rPr>
        <w:t xml:space="preserve">Quelle: </w:t>
      </w:r>
      <w:r>
        <w:t>https://mcp.opencaselaw.ch/entscheid/bl_gerichte_810 10 347</w:t>
      </w:r>
    </w:p>
    <w:p>
      <w:r>
        <w:t>FR: BL_GERICHTE 810 10 347 du 1 février 2012</w:t>
      </w:r>
    </w:p>
    <w:p>
      <w:r>
        <w:t>IT: BL_GERICHTE 810 10 347 del 1 febbraio 2012</w:t>
      </w:r>
    </w:p>
    <w:p>
      <w:pPr>
        <w:pStyle w:val="Heading2"/>
      </w:pPr>
      <w:r>
        <w:t>Regeste</w:t>
      </w:r>
    </w:p>
    <w:p>
      <w:r>
        <w:t>Nichtverlängerung der Aufenthaltsbewilligung (RRB Nr. 921 vom 29. Juni 2010)</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Unbestimmte Rechtsbegriffe sind der Auslegung zugänglich, wobei sich das Kantonsgericht allerdings in Übereinstimmung mit der Praxis des Bundesgerichts eine gewisse Zurückhaltung auferlegt und den Verwaltungsbehörden einen Beurteilungsspielraum zuerkennt, wenn der Entscheid besondere Kenntnisse oder Vertrautheit mit den tatsächlichen Verhältnissen voraussetzt ( Ulrich Häfelin / Georg Müller / Felix Uhlmann , Allgemeines Verwaltungsrecht, 6. Auflage, Zürich 2010, N 446c.; Urteil des Kantonsgerichts, Abteilung Verfassungs- und Verwaltungsrecht [KGE VV] vom 18. Oktober 2006, 810 06 154, E. 2.3).</w:t>
      </w:r>
    </w:p>
    <w:p>
      <w:r>
        <w:rPr>
          <w:b/>
        </w:rPr>
        <w:t>E. 3</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